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03F" w:rsidRDefault="0073603F" w:rsidP="0073603F">
      <w:pPr>
        <w:spacing w:line="480" w:lineRule="auto"/>
      </w:pPr>
      <w:r>
        <w:t>Name</w:t>
      </w:r>
    </w:p>
    <w:p w:rsidR="0073603F" w:rsidRDefault="0073603F" w:rsidP="0073603F">
      <w:pPr>
        <w:spacing w:line="480" w:lineRule="auto"/>
      </w:pPr>
      <w:r>
        <w:t>Professor</w:t>
      </w:r>
    </w:p>
    <w:p w:rsidR="0073603F" w:rsidRDefault="0073603F" w:rsidP="0073603F">
      <w:pPr>
        <w:spacing w:line="480" w:lineRule="auto"/>
      </w:pPr>
      <w:r>
        <w:t>Course</w:t>
      </w:r>
    </w:p>
    <w:p w:rsidR="0073603F" w:rsidRDefault="0073603F" w:rsidP="0073603F">
      <w:pPr>
        <w:spacing w:line="480" w:lineRule="auto"/>
      </w:pPr>
      <w:r>
        <w:t>Date</w:t>
      </w:r>
    </w:p>
    <w:p w:rsidR="00F73A7E" w:rsidRPr="006F1853" w:rsidRDefault="00CD0B67" w:rsidP="006F1853">
      <w:pPr>
        <w:spacing w:line="480" w:lineRule="auto"/>
        <w:jc w:val="center"/>
      </w:pPr>
      <w:r>
        <w:t>The Education of Boys In the Bac</w:t>
      </w:r>
      <w:r w:rsidR="006F1853">
        <w:t>k</w:t>
      </w:r>
    </w:p>
    <w:p w:rsidR="000A7B57" w:rsidRPr="000A7B57" w:rsidRDefault="000A7B57" w:rsidP="006F1853">
      <w:pPr>
        <w:spacing w:line="480" w:lineRule="auto"/>
        <w:ind w:firstLine="720"/>
        <w:jc w:val="center"/>
        <w:rPr>
          <w:b/>
        </w:rPr>
      </w:pPr>
      <w:r w:rsidRPr="000A7B57">
        <w:rPr>
          <w:b/>
        </w:rPr>
        <w:t>Summary</w:t>
      </w:r>
    </w:p>
    <w:p w:rsidR="0026176C" w:rsidRDefault="0026176C" w:rsidP="0026176C">
      <w:pPr>
        <w:spacing w:line="480" w:lineRule="auto"/>
        <w:ind w:firstLine="720"/>
      </w:pPr>
      <w:r>
        <w:t xml:space="preserve">The article is about the gender gap that exists in the education set up. Its primary focus is on the academic performance by the boys. About the article, both boys and the girls exhibit similar results in regular tests.  However, boys have lower grades than girls and hardly go to college. </w:t>
      </w:r>
    </w:p>
    <w:p w:rsidR="0026176C" w:rsidRDefault="0026176C" w:rsidP="0026176C">
      <w:pPr>
        <w:spacing w:line="480" w:lineRule="auto"/>
        <w:ind w:firstLine="720"/>
      </w:pPr>
      <w:r>
        <w:t>A study in the article conceals that boys’ performance is influenced by their behavior patterns (Christina). As opposed to the girls, boys rarely respect the laid down rules. Additionally, they rarely pay attention. Consequently, boys are assigned lower grades than girls by the teacher. Naturally, girls develop non-cognitive skills such as zeal to learn, persistence and to be attentive earlier than boys. According to the researchers, boys were rated by the teachers to be less gifted even at a point where they performed as well as the girls</w:t>
      </w:r>
    </w:p>
    <w:p w:rsidR="0026176C" w:rsidRDefault="0026176C" w:rsidP="0026176C">
      <w:pPr>
        <w:spacing w:line="480" w:lineRule="auto"/>
        <w:ind w:firstLine="720"/>
      </w:pPr>
      <w:r>
        <w:t>The article argues that boys rarely depict effort in the school activities.</w:t>
      </w:r>
    </w:p>
    <w:p w:rsidR="0026176C" w:rsidRDefault="0026176C" w:rsidP="0026176C">
      <w:pPr>
        <w:spacing w:line="480" w:lineRule="auto"/>
        <w:ind w:firstLine="720"/>
      </w:pPr>
      <w:r>
        <w:t xml:space="preserve">On the other hand, girls exhibit good behaviors at school, and thus they perform better (Christina). Without the regard of action in the classroom by teachers, boys would display better results just like girls. The disadvantages such as norms that did not take into account the education for girls have minimized since the year 1970. Parents gained insights and educated their girls equally as the boys. </w:t>
      </w:r>
    </w:p>
    <w:p w:rsidR="0026176C" w:rsidRDefault="0026176C" w:rsidP="0026176C">
      <w:pPr>
        <w:spacing w:line="480" w:lineRule="auto"/>
        <w:ind w:firstLine="720"/>
      </w:pPr>
      <w:r>
        <w:lastRenderedPageBreak/>
        <w:t xml:space="preserve">The occurrence of these shifts resulted in advancement in girls’ education whereby they have overtaken the boys in such fields as bachelor’s degree, master’s degrees as well Ph.D. (Christina).  The article argues that some people attribute the boys’ inattentiveness and distraction as their problems. </w:t>
      </w:r>
    </w:p>
    <w:p w:rsidR="0026176C" w:rsidRDefault="0026176C" w:rsidP="0026176C">
      <w:pPr>
        <w:spacing w:line="480" w:lineRule="auto"/>
        <w:ind w:firstLine="720"/>
      </w:pPr>
      <w:r>
        <w:t>The article recommends that the same efforts that were applied in the previous years to raise the standard of girls can still be implemented to raise those of boys (Christina). Few were talking about the boys when the writer wrote about “The War against the Boys.” It was until twelve years later until other scholars were interested in the interest of the boys. It was in the 1990s when the benefits of boys were taken into account where the main focus was the schooling for boys. One such way is the achievement in schools for the boys as the chief cornerstone for future success.</w:t>
      </w:r>
    </w:p>
    <w:p w:rsidR="0026176C" w:rsidRDefault="0026176C" w:rsidP="0026176C">
      <w:pPr>
        <w:spacing w:line="480" w:lineRule="auto"/>
        <w:ind w:firstLine="720"/>
      </w:pPr>
      <w:r>
        <w:t xml:space="preserve">The other reason proposed in the article is globalization (Christina). In this case, the race on global economy provides that the marathon entail production of the skilled and trained workforce. The author argues that the men who are from middle-class backgrounds are not left far much behind. However, there also exists some gender gap. A study conducted by a psychology professor reveals that 24 percent of the boys scored less than the basic. The depiction was in comparison to the girls who were only seven who only. </w:t>
      </w:r>
    </w:p>
    <w:p w:rsidR="0026176C" w:rsidRDefault="0026176C" w:rsidP="0026176C">
      <w:pPr>
        <w:spacing w:line="480" w:lineRule="auto"/>
        <w:ind w:firstLine="720"/>
      </w:pPr>
      <w:r>
        <w:t xml:space="preserve">A recommendation is given by the author the Canadians, the British and the Canadian should be emulated (Christina). They have realized the underachievement of the male and thus have openly decided to address the problem. It is stated that the campaigns to educate the boy should be done. As part of curbing the males’ disengagement with school’s affairs, it is suggested in the article that vocational high schools can act as a solution. </w:t>
      </w:r>
    </w:p>
    <w:p w:rsidR="0026176C" w:rsidRPr="0026176C" w:rsidRDefault="0026176C" w:rsidP="0026176C">
      <w:pPr>
        <w:spacing w:line="480" w:lineRule="auto"/>
        <w:ind w:firstLine="720"/>
        <w:jc w:val="center"/>
        <w:rPr>
          <w:b/>
        </w:rPr>
      </w:pPr>
      <w:r w:rsidRPr="0026176C">
        <w:rPr>
          <w:b/>
        </w:rPr>
        <w:t>Response</w:t>
      </w:r>
    </w:p>
    <w:p w:rsidR="0026176C" w:rsidRDefault="0026176C" w:rsidP="0026176C">
      <w:pPr>
        <w:spacing w:line="480" w:lineRule="auto"/>
        <w:ind w:firstLine="720"/>
      </w:pPr>
      <w:r>
        <w:lastRenderedPageBreak/>
        <w:t xml:space="preserve">About the emphasis that has dramatically been dominated in the education of the female, some considerable measures ought to be taken to address the challenge (Day et al., 95). The reason is that shortly we might realize that the female is the only working in the formal sectors while the male end up in the informal areas. Consequently, suitable measures should be taken to avoid such a scenario. </w:t>
      </w:r>
    </w:p>
    <w:p w:rsidR="0026176C" w:rsidRDefault="0026176C" w:rsidP="0026176C">
      <w:pPr>
        <w:spacing w:line="480" w:lineRule="auto"/>
        <w:ind w:firstLine="720"/>
      </w:pPr>
      <w:r>
        <w:t xml:space="preserve">With this regard, since the performance of boys is attributed to their behavior, strategies should be devised to ensure that the boys exhibit desirable behaviors as those of boys (Day et al., 95). Such programmes as in-service training can be done to train the teachers at this level with the skills on how to modify their behaviors. Consequently, assessment of their performance will not be in any way be based on the undesirable behavior they could otherwise exhibit. </w:t>
      </w:r>
    </w:p>
    <w:p w:rsidR="0026176C" w:rsidRDefault="0026176C" w:rsidP="0026176C">
      <w:pPr>
        <w:spacing w:line="480" w:lineRule="auto"/>
        <w:ind w:firstLine="720"/>
      </w:pPr>
      <w:r>
        <w:t xml:space="preserve">Any country’s constitution should encourage ease in the access of the primary education (Day et al., 95). This can mostly be enhanced through the provision of free primary education for both primary and secondary schools. Matters should be looked into so that the challenge affecting the male during this stage of academic pursuit is addressed. </w:t>
      </w:r>
    </w:p>
    <w:p w:rsidR="0026176C" w:rsidRDefault="0026176C" w:rsidP="0026176C">
      <w:pPr>
        <w:spacing w:line="480" w:lineRule="auto"/>
        <w:ind w:firstLine="720"/>
      </w:pPr>
      <w:r>
        <w:t xml:space="preserve">Another measure that can ensure that the boys are not lagging behind is control of the number of entries for both genders (Day et al., 95). By doing so, it will ensure that excellent gender disparity is minimized and the equal number of boys and girls is accounted for. This should not only apply in the enrollment but also in the retention as well as the transition. Additionally, to ensure that the boys pay full attention towards the academic affairs, there should be implementations of programs such as man to man talk where male teachers encourage the boys and create insight and a good perception of education in boys. That is, the programs should not only be centered on girls but also the boys. With this, they can see the importance of academic pursuit. </w:t>
      </w:r>
    </w:p>
    <w:p w:rsidR="0026176C" w:rsidRDefault="0026176C" w:rsidP="0026176C">
      <w:pPr>
        <w:spacing w:line="480" w:lineRule="auto"/>
        <w:ind w:firstLine="720"/>
      </w:pPr>
      <w:r>
        <w:lastRenderedPageBreak/>
        <w:t xml:space="preserve">Another issue that can help curb this problem is the use of supportive campaigners. The campaign on education for the boys should be firmly supported (Day et al., 95). Whenever there arises an interested person to help the school for the boys, other members of the public should arise with them and provide full support. It should not be a one-man task to push for the education of the boys. Preferably, the public should come out in large number to hold the campaign and support the education materially. </w:t>
      </w:r>
    </w:p>
    <w:p w:rsidR="00A34659" w:rsidRDefault="0026176C" w:rsidP="0026176C">
      <w:pPr>
        <w:spacing w:line="480" w:lineRule="auto"/>
        <w:ind w:firstLine="720"/>
      </w:pPr>
      <w:r>
        <w:t>To sum up, education for boys is equally important as that of girls. Sommers Christina thus wrote “The Boys at the Back,” to speak for the well-being of the boys with the education as the mainstream for their future progress. Consequently, the stated measures should be employed to arrive at the welfare.</w:t>
      </w:r>
    </w:p>
    <w:p w:rsidR="00A34659" w:rsidRDefault="00A34659" w:rsidP="00D46663">
      <w:pPr>
        <w:spacing w:line="480" w:lineRule="auto"/>
        <w:ind w:firstLine="720"/>
      </w:pPr>
    </w:p>
    <w:p w:rsidR="00A34659" w:rsidRDefault="00A34659" w:rsidP="00D46663">
      <w:pPr>
        <w:spacing w:line="480" w:lineRule="auto"/>
        <w:ind w:firstLine="720"/>
      </w:pPr>
    </w:p>
    <w:p w:rsidR="00A34659" w:rsidRDefault="00A34659" w:rsidP="00D46663">
      <w:pPr>
        <w:spacing w:line="480" w:lineRule="auto"/>
        <w:ind w:firstLine="720"/>
      </w:pPr>
    </w:p>
    <w:p w:rsidR="00A34659" w:rsidRDefault="00A34659" w:rsidP="00D46663">
      <w:pPr>
        <w:spacing w:line="480" w:lineRule="auto"/>
        <w:ind w:firstLine="720"/>
      </w:pPr>
    </w:p>
    <w:p w:rsidR="00A34659" w:rsidRDefault="00A34659" w:rsidP="00D46663">
      <w:pPr>
        <w:spacing w:line="480" w:lineRule="auto"/>
        <w:ind w:firstLine="720"/>
      </w:pPr>
    </w:p>
    <w:p w:rsidR="00A34659" w:rsidRDefault="00A34659" w:rsidP="00D46663">
      <w:pPr>
        <w:spacing w:line="480" w:lineRule="auto"/>
        <w:ind w:firstLine="720"/>
      </w:pPr>
    </w:p>
    <w:p w:rsidR="00A34659" w:rsidRDefault="00A34659" w:rsidP="00D46663">
      <w:pPr>
        <w:spacing w:line="480" w:lineRule="auto"/>
        <w:ind w:firstLine="720"/>
      </w:pPr>
    </w:p>
    <w:p w:rsidR="00A34659" w:rsidRDefault="00A34659" w:rsidP="00D46663">
      <w:pPr>
        <w:spacing w:line="480" w:lineRule="auto"/>
        <w:ind w:firstLine="720"/>
      </w:pPr>
    </w:p>
    <w:p w:rsidR="00A34659" w:rsidRDefault="00A34659" w:rsidP="00D46663">
      <w:pPr>
        <w:spacing w:line="480" w:lineRule="auto"/>
        <w:ind w:firstLine="720"/>
      </w:pPr>
    </w:p>
    <w:p w:rsidR="00491C04" w:rsidRDefault="00491C04" w:rsidP="00D46663">
      <w:pPr>
        <w:spacing w:line="480" w:lineRule="auto"/>
        <w:ind w:firstLine="720"/>
      </w:pPr>
    </w:p>
    <w:p w:rsidR="0026176C" w:rsidRDefault="0026176C" w:rsidP="00D46663">
      <w:pPr>
        <w:spacing w:line="480" w:lineRule="auto"/>
        <w:ind w:firstLine="720"/>
      </w:pPr>
    </w:p>
    <w:p w:rsidR="00A34659" w:rsidRDefault="00A34659" w:rsidP="005204A2">
      <w:pPr>
        <w:spacing w:line="480" w:lineRule="auto"/>
      </w:pPr>
    </w:p>
    <w:p w:rsidR="005204A2" w:rsidRDefault="005204A2" w:rsidP="005204A2">
      <w:pPr>
        <w:spacing w:line="480" w:lineRule="auto"/>
      </w:pPr>
    </w:p>
    <w:p w:rsidR="00A34659" w:rsidRDefault="00491C04" w:rsidP="00491C04">
      <w:pPr>
        <w:spacing w:line="480" w:lineRule="auto"/>
        <w:ind w:firstLine="720"/>
        <w:jc w:val="center"/>
      </w:pPr>
      <w:r>
        <w:lastRenderedPageBreak/>
        <w:t>Work Cited</w:t>
      </w:r>
    </w:p>
    <w:p w:rsidR="00491C04" w:rsidRDefault="00491C04" w:rsidP="00491C04">
      <w:pPr>
        <w:spacing w:line="480" w:lineRule="auto"/>
        <w:ind w:left="720" w:hangingChars="300" w:hanging="720"/>
      </w:pPr>
      <w:r w:rsidRPr="00491C04">
        <w:t xml:space="preserve">Christina H. “The Boys at the Back” </w:t>
      </w:r>
      <w:hyperlink r:id="rId6" w:history="1">
        <w:r w:rsidRPr="00491C04">
          <w:rPr>
            <w:rStyle w:val="Hyperlink"/>
          </w:rPr>
          <w:t>https://opinionator.blogs.nytimes.com/2013/02/02/the-boys-at-the-back/</w:t>
        </w:r>
      </w:hyperlink>
      <w:r w:rsidRPr="00491C04">
        <w:t xml:space="preserve"> (Retrieved on 14/9/2018)</w:t>
      </w:r>
    </w:p>
    <w:p w:rsidR="00A34659" w:rsidRPr="00A34659" w:rsidRDefault="00A34659" w:rsidP="00491C04">
      <w:pPr>
        <w:spacing w:after="200" w:line="480" w:lineRule="auto"/>
        <w:ind w:left="720" w:hangingChars="300" w:hanging="720"/>
        <w:rPr>
          <w:rFonts w:eastAsiaTheme="minorHAnsi"/>
        </w:rPr>
      </w:pPr>
      <w:r w:rsidRPr="00A34659">
        <w:rPr>
          <w:rFonts w:eastAsiaTheme="minorHAnsi"/>
        </w:rPr>
        <w:t>Day, Jacob C., Margaret A. Zahn, and Lisa P. Tichavsky. "What works for whom? The effects of gender responsive programming on girls and boys in secure detention."</w:t>
      </w:r>
      <w:r w:rsidRPr="00A34659">
        <w:rPr>
          <w:rFonts w:eastAsiaTheme="minorHAnsi"/>
          <w:i/>
          <w:iCs/>
        </w:rPr>
        <w:t>Journal of Research in Crime and Delinquency</w:t>
      </w:r>
      <w:r w:rsidRPr="00A34659">
        <w:rPr>
          <w:rFonts w:eastAsiaTheme="minorHAnsi"/>
        </w:rPr>
        <w:t xml:space="preserve"> 52.1 (2015): 93-129.</w:t>
      </w:r>
      <w:bookmarkStart w:id="0" w:name="_GoBack"/>
      <w:bookmarkEnd w:id="0"/>
    </w:p>
    <w:sectPr w:rsidR="00A34659" w:rsidRPr="00A34659" w:rsidSect="0078213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D9F" w:rsidRDefault="00BD1D9F" w:rsidP="007A68EF">
      <w:r>
        <w:separator/>
      </w:r>
    </w:p>
  </w:endnote>
  <w:endnote w:type="continuationSeparator" w:id="1">
    <w:p w:rsidR="00BD1D9F" w:rsidRDefault="00BD1D9F" w:rsidP="007A68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D9F" w:rsidRDefault="00BD1D9F" w:rsidP="007A68EF">
      <w:r>
        <w:separator/>
      </w:r>
    </w:p>
  </w:footnote>
  <w:footnote w:type="continuationSeparator" w:id="1">
    <w:p w:rsidR="00BD1D9F" w:rsidRDefault="00BD1D9F" w:rsidP="007A68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EF" w:rsidRDefault="007A68EF">
    <w:pPr>
      <w:pStyle w:val="Header"/>
      <w:jc w:val="right"/>
    </w:pPr>
    <w:r>
      <w:t xml:space="preserve">Surname </w:t>
    </w:r>
    <w:sdt>
      <w:sdtPr>
        <w:id w:val="10813272"/>
        <w:docPartObj>
          <w:docPartGallery w:val="Page Numbers (Top of Page)"/>
          <w:docPartUnique/>
        </w:docPartObj>
      </w:sdtPr>
      <w:sdtContent>
        <w:fldSimple w:instr=" PAGE   \* MERGEFORMAT ">
          <w:r>
            <w:rPr>
              <w:noProof/>
            </w:rPr>
            <w:t>5</w:t>
          </w:r>
        </w:fldSimple>
      </w:sdtContent>
    </w:sdt>
  </w:p>
  <w:p w:rsidR="007A68EF" w:rsidRDefault="007A68E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Q2NzQ1NTEzNTS3NLZQ0lEKTi0uzszPAykwqgUAiZ8SXSwAAAA="/>
  </w:docVars>
  <w:rsids>
    <w:rsidRoot w:val="00900C4F"/>
    <w:rsid w:val="000A7B57"/>
    <w:rsid w:val="0015156A"/>
    <w:rsid w:val="001A2367"/>
    <w:rsid w:val="001F3B18"/>
    <w:rsid w:val="002041A7"/>
    <w:rsid w:val="0026176C"/>
    <w:rsid w:val="0041785F"/>
    <w:rsid w:val="00491C04"/>
    <w:rsid w:val="005204A2"/>
    <w:rsid w:val="0054692D"/>
    <w:rsid w:val="005B5A26"/>
    <w:rsid w:val="006500E3"/>
    <w:rsid w:val="006F1853"/>
    <w:rsid w:val="0073603F"/>
    <w:rsid w:val="007700D7"/>
    <w:rsid w:val="00782133"/>
    <w:rsid w:val="007A68EF"/>
    <w:rsid w:val="007B2A05"/>
    <w:rsid w:val="007D0A96"/>
    <w:rsid w:val="007F6040"/>
    <w:rsid w:val="0082501E"/>
    <w:rsid w:val="00852BED"/>
    <w:rsid w:val="008A7B0B"/>
    <w:rsid w:val="00900C4F"/>
    <w:rsid w:val="00963080"/>
    <w:rsid w:val="00A34659"/>
    <w:rsid w:val="00BC699D"/>
    <w:rsid w:val="00BD1D9F"/>
    <w:rsid w:val="00BF0010"/>
    <w:rsid w:val="00C93058"/>
    <w:rsid w:val="00CD0B67"/>
    <w:rsid w:val="00D46663"/>
    <w:rsid w:val="00E911CC"/>
    <w:rsid w:val="00EB78A8"/>
    <w:rsid w:val="00EC3DA5"/>
    <w:rsid w:val="00F35DE0"/>
    <w:rsid w:val="00F526D3"/>
    <w:rsid w:val="00F73A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6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C04"/>
    <w:rPr>
      <w:color w:val="0000FF" w:themeColor="hyperlink"/>
      <w:u w:val="single"/>
    </w:rPr>
  </w:style>
  <w:style w:type="paragraph" w:styleId="Header">
    <w:name w:val="header"/>
    <w:basedOn w:val="Normal"/>
    <w:link w:val="HeaderChar"/>
    <w:uiPriority w:val="99"/>
    <w:unhideWhenUsed/>
    <w:rsid w:val="007A68EF"/>
    <w:pPr>
      <w:tabs>
        <w:tab w:val="center" w:pos="4680"/>
        <w:tab w:val="right" w:pos="9360"/>
      </w:tabs>
    </w:pPr>
  </w:style>
  <w:style w:type="character" w:customStyle="1" w:styleId="HeaderChar">
    <w:name w:val="Header Char"/>
    <w:basedOn w:val="DefaultParagraphFont"/>
    <w:link w:val="Header"/>
    <w:uiPriority w:val="99"/>
    <w:rsid w:val="007A68EF"/>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7A68EF"/>
    <w:pPr>
      <w:tabs>
        <w:tab w:val="center" w:pos="4680"/>
        <w:tab w:val="right" w:pos="9360"/>
      </w:tabs>
    </w:pPr>
  </w:style>
  <w:style w:type="character" w:customStyle="1" w:styleId="FooterChar">
    <w:name w:val="Footer Char"/>
    <w:basedOn w:val="DefaultParagraphFont"/>
    <w:link w:val="Footer"/>
    <w:uiPriority w:val="99"/>
    <w:semiHidden/>
    <w:rsid w:val="007A68E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6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C0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29330469">
      <w:bodyDiv w:val="1"/>
      <w:marLeft w:val="0"/>
      <w:marRight w:val="0"/>
      <w:marTop w:val="0"/>
      <w:marBottom w:val="0"/>
      <w:divBdr>
        <w:top w:val="none" w:sz="0" w:space="0" w:color="auto"/>
        <w:left w:val="none" w:sz="0" w:space="0" w:color="auto"/>
        <w:bottom w:val="none" w:sz="0" w:space="0" w:color="auto"/>
        <w:right w:val="none" w:sz="0" w:space="0" w:color="auto"/>
      </w:divBdr>
      <w:divsChild>
        <w:div w:id="473107213">
          <w:marLeft w:val="0"/>
          <w:marRight w:val="0"/>
          <w:marTop w:val="0"/>
          <w:marBottom w:val="0"/>
          <w:divBdr>
            <w:top w:val="none" w:sz="0" w:space="0" w:color="auto"/>
            <w:left w:val="none" w:sz="0" w:space="0" w:color="auto"/>
            <w:bottom w:val="none" w:sz="0" w:space="0" w:color="auto"/>
            <w:right w:val="none" w:sz="0" w:space="0" w:color="auto"/>
          </w:divBdr>
          <w:divsChild>
            <w:div w:id="416440514">
              <w:marLeft w:val="0"/>
              <w:marRight w:val="0"/>
              <w:marTop w:val="0"/>
              <w:marBottom w:val="0"/>
              <w:divBdr>
                <w:top w:val="none" w:sz="0" w:space="0" w:color="auto"/>
                <w:left w:val="none" w:sz="0" w:space="0" w:color="auto"/>
                <w:bottom w:val="none" w:sz="0" w:space="0" w:color="auto"/>
                <w:right w:val="none" w:sz="0" w:space="0" w:color="auto"/>
              </w:divBdr>
              <w:divsChild>
                <w:div w:id="1131049789">
                  <w:marLeft w:val="0"/>
                  <w:marRight w:val="0"/>
                  <w:marTop w:val="0"/>
                  <w:marBottom w:val="0"/>
                  <w:divBdr>
                    <w:top w:val="single" w:sz="6" w:space="0" w:color="CCCCCC"/>
                    <w:left w:val="single" w:sz="6" w:space="0" w:color="CCCCCC"/>
                    <w:bottom w:val="single" w:sz="6" w:space="0" w:color="CCCCCC"/>
                    <w:right w:val="single" w:sz="6" w:space="0" w:color="CCCCCC"/>
                  </w:divBdr>
                  <w:divsChild>
                    <w:div w:id="384764583">
                      <w:marLeft w:val="0"/>
                      <w:marRight w:val="0"/>
                      <w:marTop w:val="0"/>
                      <w:marBottom w:val="0"/>
                      <w:divBdr>
                        <w:top w:val="none" w:sz="0" w:space="0" w:color="auto"/>
                        <w:left w:val="none" w:sz="0" w:space="0" w:color="auto"/>
                        <w:bottom w:val="none" w:sz="0" w:space="0" w:color="auto"/>
                        <w:right w:val="none" w:sz="0" w:space="0" w:color="auto"/>
                      </w:divBdr>
                      <w:divsChild>
                        <w:div w:id="881357315">
                          <w:marLeft w:val="0"/>
                          <w:marRight w:val="0"/>
                          <w:marTop w:val="0"/>
                          <w:marBottom w:val="0"/>
                          <w:divBdr>
                            <w:top w:val="none" w:sz="0" w:space="0" w:color="auto"/>
                            <w:left w:val="none" w:sz="0" w:space="0" w:color="auto"/>
                            <w:bottom w:val="none" w:sz="0" w:space="0" w:color="auto"/>
                            <w:right w:val="none" w:sz="0" w:space="0" w:color="auto"/>
                          </w:divBdr>
                          <w:divsChild>
                            <w:div w:id="461651550">
                              <w:marLeft w:val="0"/>
                              <w:marRight w:val="0"/>
                              <w:marTop w:val="0"/>
                              <w:marBottom w:val="0"/>
                              <w:divBdr>
                                <w:top w:val="none" w:sz="0" w:space="0" w:color="auto"/>
                                <w:left w:val="none" w:sz="0" w:space="0" w:color="auto"/>
                                <w:bottom w:val="none" w:sz="0" w:space="0" w:color="auto"/>
                                <w:right w:val="none" w:sz="0" w:space="0" w:color="auto"/>
                              </w:divBdr>
                              <w:divsChild>
                                <w:div w:id="63039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inionator.blogs.nytimes.com/2013/02/02/the-boys-at-the-back/"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5</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ANTONY BJ</cp:lastModifiedBy>
  <cp:revision>13</cp:revision>
  <dcterms:created xsi:type="dcterms:W3CDTF">2018-09-13T22:18:00Z</dcterms:created>
  <dcterms:modified xsi:type="dcterms:W3CDTF">2018-09-14T06:51:00Z</dcterms:modified>
</cp:coreProperties>
</file>